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85" w:rsidRPr="00812EB7" w:rsidRDefault="00B26185" w:rsidP="00B26185">
      <w:pPr>
        <w:pStyle w:val="Heading1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Toc295667491"/>
      <w:bookmarkStart w:id="1" w:name="_GoBack"/>
      <w:bookmarkEnd w:id="1"/>
      <w:r w:rsidRPr="00812EB7">
        <w:rPr>
          <w:rFonts w:ascii="Times New Roman" w:hAnsi="Times New Roman" w:cs="Times New Roman"/>
          <w:sz w:val="40"/>
          <w:szCs w:val="40"/>
        </w:rPr>
        <w:t>Techniques to Make Input Comprehensible</w:t>
      </w:r>
      <w:bookmarkEnd w:id="0"/>
    </w:p>
    <w:p w:rsidR="00AE7861" w:rsidRPr="00A0256C" w:rsidRDefault="00AE7861" w:rsidP="00B26185">
      <w:pPr>
        <w:spacing w:line="280" w:lineRule="exact"/>
      </w:pPr>
      <w:r>
        <w:t>In language education, “inp</w:t>
      </w:r>
      <w:r w:rsidR="00D06015">
        <w:t xml:space="preserve">ut” refers to anything </w:t>
      </w:r>
      <w:r>
        <w:t xml:space="preserve">the students </w:t>
      </w:r>
      <w:r w:rsidR="00D06015">
        <w:t xml:space="preserve">are exposed to while reading or listening and </w:t>
      </w:r>
      <w:r>
        <w:t>speaking. The research shows that students need comprehensible input in order to learn a language, but that the texts should also challenge them. Krashen, a famous theoretician</w:t>
      </w:r>
      <w:r w:rsidR="00D06015">
        <w:t>,</w:t>
      </w:r>
      <w:r>
        <w:t xml:space="preserve"> called this general idea “i + 1”. </w:t>
      </w:r>
      <w:r w:rsidR="008D60A3">
        <w:t xml:space="preserve">It is the teacher’s responsibility to make input comprehensible (MIC). </w:t>
      </w:r>
      <w:r>
        <w:t xml:space="preserve">Using </w:t>
      </w:r>
      <w:r w:rsidR="007A61A9">
        <w:t>“</w:t>
      </w:r>
      <w:r w:rsidRPr="007A61A9">
        <w:t>classroom interaction techniques</w:t>
      </w:r>
      <w:r w:rsidR="007A61A9">
        <w:t>”</w:t>
      </w:r>
      <w:r>
        <w:t xml:space="preserve"> together with </w:t>
      </w:r>
      <w:r w:rsidRPr="007A61A9">
        <w:t>the techniques for making input comprehensible is very effective</w:t>
      </w:r>
      <w:r>
        <w:t xml:space="preserve">. </w:t>
      </w:r>
      <w:r w:rsidR="007A61A9">
        <w:t>Often, two or three of the following can be used at the same time to help students comprehend input such content, instructions, or new words and phrases.</w:t>
      </w:r>
    </w:p>
    <w:p w:rsidR="00AE7861" w:rsidRDefault="00AE7861" w:rsidP="00B26185">
      <w:pPr>
        <w:spacing w:line="280" w:lineRule="exact"/>
        <w:rPr>
          <w:b/>
        </w:rPr>
      </w:pPr>
    </w:p>
    <w:p w:rsidR="003D7D55" w:rsidRDefault="003D7D55" w:rsidP="00B26185">
      <w:pPr>
        <w:spacing w:line="280" w:lineRule="exact"/>
        <w:rPr>
          <w:b/>
        </w:rPr>
      </w:pPr>
    </w:p>
    <w:p w:rsidR="00B26185" w:rsidRPr="00950238" w:rsidRDefault="00B26185" w:rsidP="00B26185">
      <w:pPr>
        <w:spacing w:line="280" w:lineRule="exact"/>
        <w:rPr>
          <w:b/>
        </w:rPr>
      </w:pPr>
      <w:r w:rsidRPr="00950238">
        <w:rPr>
          <w:rFonts w:hint="eastAsia"/>
          <w:b/>
        </w:rPr>
        <w:t xml:space="preserve">REPEAT </w:t>
      </w:r>
      <w:r>
        <w:rPr>
          <w:b/>
        </w:rPr>
        <w:t xml:space="preserve">a) </w:t>
      </w:r>
      <w:r w:rsidRPr="00950238">
        <w:rPr>
          <w:rFonts w:hint="eastAsia"/>
          <w:b/>
        </w:rPr>
        <w:t xml:space="preserve">at a slower rate, </w:t>
      </w:r>
      <w:r>
        <w:rPr>
          <w:b/>
        </w:rPr>
        <w:t xml:space="preserve">b) </w:t>
      </w:r>
      <w:r w:rsidRPr="00950238">
        <w:rPr>
          <w:rFonts w:hint="eastAsia"/>
          <w:b/>
        </w:rPr>
        <w:t xml:space="preserve">with clearer pronunciation, </w:t>
      </w:r>
      <w:r>
        <w:rPr>
          <w:b/>
        </w:rPr>
        <w:t xml:space="preserve">and/or c) </w:t>
      </w:r>
      <w:r w:rsidRPr="00950238">
        <w:rPr>
          <w:rFonts w:hint="eastAsia"/>
          <w:b/>
        </w:rPr>
        <w:t>with emphasis on key words or phrases</w:t>
      </w:r>
    </w:p>
    <w:p w:rsidR="00B26185" w:rsidRPr="007B4493" w:rsidRDefault="00F10F13" w:rsidP="00B26185">
      <w:pPr>
        <w:spacing w:line="280" w:lineRule="exact"/>
        <w:ind w:left="54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It is good to </w:t>
      </w:r>
      <w:r w:rsidRPr="00F10F13">
        <w:rPr>
          <w:rFonts w:ascii="Bradley Hand ITC" w:hAnsi="Bradley Hand ITC"/>
          <w:b/>
          <w:sz w:val="24"/>
          <w:szCs w:val="24"/>
        </w:rPr>
        <w:t>emphasize</w:t>
      </w:r>
      <w:r>
        <w:rPr>
          <w:rFonts w:ascii="Bradley Hand ITC" w:hAnsi="Bradley Hand ITC"/>
          <w:sz w:val="24"/>
          <w:szCs w:val="24"/>
        </w:rPr>
        <w:t xml:space="preserve"> new vocabulary </w:t>
      </w:r>
      <w:r w:rsidRPr="00F10F13">
        <w:rPr>
          <w:rFonts w:ascii="Bradley Hand ITC" w:hAnsi="Bradley Hand ITC"/>
          <w:b/>
          <w:sz w:val="24"/>
          <w:szCs w:val="24"/>
        </w:rPr>
        <w:t>in context</w:t>
      </w:r>
      <w:r>
        <w:rPr>
          <w:rFonts w:ascii="Bradley Hand ITC" w:hAnsi="Bradley Hand ITC"/>
          <w:sz w:val="24"/>
          <w:szCs w:val="24"/>
        </w:rPr>
        <w:t xml:space="preserve"> using this technique. Furthermore, you can use it with “</w:t>
      </w:r>
      <w:r w:rsidRPr="00F10F13">
        <w:rPr>
          <w:rFonts w:ascii="Bradley Hand ITC" w:hAnsi="Bradley Hand ITC"/>
          <w:b/>
          <w:sz w:val="24"/>
          <w:szCs w:val="24"/>
        </w:rPr>
        <w:t>repetitions</w:t>
      </w:r>
      <w:r>
        <w:rPr>
          <w:rFonts w:ascii="Bradley Hand ITC" w:hAnsi="Bradley Hand ITC"/>
          <w:sz w:val="24"/>
          <w:szCs w:val="24"/>
        </w:rPr>
        <w:t xml:space="preserve">” (the classroom interaction technique) in which the students also </w:t>
      </w:r>
      <w:r w:rsidRPr="00E15EDA">
        <w:rPr>
          <w:rFonts w:ascii="Bradley Hand ITC" w:hAnsi="Bradley Hand ITC"/>
          <w:b/>
          <w:sz w:val="24"/>
          <w:szCs w:val="24"/>
        </w:rPr>
        <w:t>produce</w:t>
      </w:r>
      <w:r>
        <w:rPr>
          <w:rFonts w:ascii="Bradley Hand ITC" w:hAnsi="Bradley Hand ITC"/>
          <w:sz w:val="24"/>
          <w:szCs w:val="24"/>
        </w:rPr>
        <w:t xml:space="preserve"> language </w:t>
      </w:r>
      <w:r w:rsidR="00E15EDA">
        <w:rPr>
          <w:rFonts w:ascii="Bradley Hand ITC" w:hAnsi="Bradley Hand ITC"/>
          <w:sz w:val="24"/>
          <w:szCs w:val="24"/>
        </w:rPr>
        <w:t xml:space="preserve">following </w:t>
      </w:r>
      <w:r>
        <w:rPr>
          <w:rFonts w:ascii="Bradley Hand ITC" w:hAnsi="Bradley Hand ITC"/>
          <w:sz w:val="24"/>
          <w:szCs w:val="24"/>
        </w:rPr>
        <w:t xml:space="preserve">your </w:t>
      </w:r>
      <w:r w:rsidR="00E15EDA">
        <w:rPr>
          <w:rFonts w:ascii="Bradley Hand ITC" w:hAnsi="Bradley Hand ITC"/>
          <w:sz w:val="24"/>
          <w:szCs w:val="24"/>
        </w:rPr>
        <w:t xml:space="preserve">clear </w:t>
      </w:r>
      <w:r>
        <w:rPr>
          <w:rFonts w:ascii="Bradley Hand ITC" w:hAnsi="Bradley Hand ITC"/>
          <w:sz w:val="24"/>
          <w:szCs w:val="24"/>
        </w:rPr>
        <w:t>model of the language</w:t>
      </w:r>
      <w:r w:rsidR="00E15EDA">
        <w:rPr>
          <w:rFonts w:ascii="Bradley Hand ITC" w:hAnsi="Bradley Hand ITC"/>
          <w:sz w:val="24"/>
          <w:szCs w:val="24"/>
        </w:rPr>
        <w:t>.</w:t>
      </w:r>
    </w:p>
    <w:p w:rsidR="00AE7861" w:rsidRDefault="00AE7861" w:rsidP="00B26185">
      <w:pPr>
        <w:spacing w:line="280" w:lineRule="exact"/>
        <w:rPr>
          <w:b/>
        </w:rPr>
      </w:pPr>
    </w:p>
    <w:p w:rsidR="003D7D55" w:rsidRDefault="003D7D55" w:rsidP="00B26185">
      <w:pPr>
        <w:spacing w:line="280" w:lineRule="exact"/>
        <w:rPr>
          <w:b/>
        </w:rPr>
      </w:pPr>
    </w:p>
    <w:p w:rsidR="003D7D55" w:rsidRDefault="003D7D55" w:rsidP="00B26185">
      <w:pPr>
        <w:spacing w:line="280" w:lineRule="exact"/>
        <w:rPr>
          <w:b/>
        </w:rPr>
      </w:pPr>
    </w:p>
    <w:p w:rsidR="00B26185" w:rsidRPr="00950238" w:rsidRDefault="00B26185" w:rsidP="00B26185">
      <w:pPr>
        <w:spacing w:line="280" w:lineRule="exact"/>
        <w:rPr>
          <w:b/>
        </w:rPr>
      </w:pPr>
      <w:r w:rsidRPr="00950238">
        <w:rPr>
          <w:rFonts w:hint="eastAsia"/>
          <w:b/>
        </w:rPr>
        <w:t xml:space="preserve">REPHRASE using smaller chunks </w:t>
      </w:r>
      <w:r w:rsidR="00F10F13">
        <w:rPr>
          <w:b/>
        </w:rPr>
        <w:t xml:space="preserve">(such as phrases), </w:t>
      </w:r>
      <w:r w:rsidRPr="00950238">
        <w:rPr>
          <w:rFonts w:hint="eastAsia"/>
          <w:b/>
        </w:rPr>
        <w:t>changing the word</w:t>
      </w:r>
      <w:r w:rsidR="00F10F13">
        <w:rPr>
          <w:b/>
        </w:rPr>
        <w:t>s or word</w:t>
      </w:r>
      <w:r w:rsidRPr="00950238">
        <w:rPr>
          <w:rFonts w:hint="eastAsia"/>
          <w:b/>
        </w:rPr>
        <w:t xml:space="preserve"> order</w:t>
      </w:r>
      <w:r w:rsidR="00F10F13">
        <w:rPr>
          <w:b/>
        </w:rPr>
        <w:t xml:space="preserve"> of a sentence</w:t>
      </w:r>
      <w:r>
        <w:rPr>
          <w:b/>
        </w:rPr>
        <w:t>, e.g.</w:t>
      </w:r>
    </w:p>
    <w:p w:rsidR="00B26185" w:rsidRDefault="00B26185" w:rsidP="00B26185">
      <w:pPr>
        <w:spacing w:line="280" w:lineRule="exact"/>
        <w:ind w:left="540"/>
      </w:pPr>
      <w:r>
        <w:t>“</w:t>
      </w:r>
      <w:r w:rsidRPr="00DE5211">
        <w:rPr>
          <w:rFonts w:ascii="Bradley Hand ITC" w:hAnsi="Bradley Hand ITC"/>
          <w:sz w:val="24"/>
          <w:szCs w:val="24"/>
        </w:rPr>
        <w:t>Role reversal is one technique in Total Physical Resp</w:t>
      </w:r>
      <w:r>
        <w:rPr>
          <w:rFonts w:ascii="Bradley Hand ITC" w:hAnsi="Bradley Hand ITC"/>
          <w:sz w:val="24"/>
          <w:szCs w:val="24"/>
        </w:rPr>
        <w:t>onse.  Larsen-Freeman says that</w:t>
      </w:r>
      <w:r w:rsidRPr="00DE5211">
        <w:rPr>
          <w:rFonts w:ascii="Bradley Hand ITC" w:hAnsi="Bradley Hand ITC"/>
          <w:sz w:val="24"/>
          <w:szCs w:val="24"/>
        </w:rPr>
        <w:t xml:space="preserve"> ‘students command their teacher and classmates to perform some actions</w:t>
      </w:r>
      <w:r>
        <w:rPr>
          <w:rFonts w:hint="eastAsia"/>
        </w:rPr>
        <w:t>.</w:t>
      </w:r>
      <w:r>
        <w:t>’”</w:t>
      </w:r>
      <w:r>
        <w:rPr>
          <w:rFonts w:hint="eastAsia"/>
        </w:rPr>
        <w:t xml:space="preserve"> </w:t>
      </w:r>
    </w:p>
    <w:p w:rsidR="00B26185" w:rsidRDefault="00B26185" w:rsidP="00B26185">
      <w:pPr>
        <w:spacing w:line="280" w:lineRule="exact"/>
        <w:ind w:left="540"/>
      </w:pPr>
    </w:p>
    <w:p w:rsidR="00B26185" w:rsidRDefault="00B26185" w:rsidP="00B26185">
      <w:pPr>
        <w:spacing w:line="280" w:lineRule="exact"/>
        <w:ind w:left="540"/>
        <w:rPr>
          <w:b/>
          <w:i/>
        </w:rPr>
      </w:pPr>
      <w:r>
        <w:rPr>
          <w:b/>
          <w:i/>
        </w:rPr>
        <w:t>This text</w:t>
      </w:r>
      <w:r w:rsidRPr="00DE5211">
        <w:rPr>
          <w:b/>
          <w:i/>
        </w:rPr>
        <w:t xml:space="preserve"> can be </w:t>
      </w:r>
      <w:r>
        <w:rPr>
          <w:b/>
          <w:i/>
        </w:rPr>
        <w:t>REPHRASED</w:t>
      </w:r>
      <w:r w:rsidRPr="00DE5211">
        <w:rPr>
          <w:b/>
          <w:i/>
        </w:rPr>
        <w:t xml:space="preserve"> in many ways</w:t>
      </w:r>
      <w:r>
        <w:rPr>
          <w:b/>
          <w:i/>
        </w:rPr>
        <w:t>, e.g.</w:t>
      </w:r>
      <w:r w:rsidRPr="00DE5211">
        <w:rPr>
          <w:b/>
          <w:i/>
        </w:rPr>
        <w:t xml:space="preserve"> </w:t>
      </w:r>
    </w:p>
    <w:p w:rsidR="00B26185" w:rsidRPr="00DE5211" w:rsidRDefault="00B26185" w:rsidP="00B26185">
      <w:pPr>
        <w:spacing w:line="280" w:lineRule="exact"/>
        <w:ind w:left="540"/>
        <w:rPr>
          <w:b/>
          <w:i/>
        </w:rPr>
      </w:pPr>
      <w:r>
        <w:rPr>
          <w:b/>
          <w:i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2E2B622" wp14:editId="5E721B21">
            <wp:simplePos x="0" y="0"/>
            <wp:positionH relativeFrom="column">
              <wp:posOffset>103505</wp:posOffset>
            </wp:positionH>
            <wp:positionV relativeFrom="paragraph">
              <wp:posOffset>184150</wp:posOffset>
            </wp:positionV>
            <wp:extent cx="1144270" cy="996950"/>
            <wp:effectExtent l="1905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185" w:rsidRDefault="00B26185" w:rsidP="00B26185">
      <w:pPr>
        <w:spacing w:line="280" w:lineRule="exact"/>
        <w:ind w:left="540"/>
      </w:pPr>
      <w:r>
        <w:t>“</w:t>
      </w:r>
      <w:r w:rsidRPr="00DE5211">
        <w:rPr>
          <w:rFonts w:ascii="Bradley Hand ITC" w:hAnsi="Bradley Hand ITC"/>
          <w:sz w:val="24"/>
          <w:szCs w:val="24"/>
        </w:rPr>
        <w:t xml:space="preserve">When students try out the teacher’s techniques it is called </w:t>
      </w:r>
      <w:r w:rsidRPr="00DE5211">
        <w:rPr>
          <w:rFonts w:ascii="Bradley Hand ITC" w:hAnsi="Bradley Hand ITC"/>
          <w:i/>
          <w:sz w:val="24"/>
          <w:szCs w:val="24"/>
        </w:rPr>
        <w:t>role reversal</w:t>
      </w:r>
      <w:r w:rsidRPr="00DE5211">
        <w:rPr>
          <w:rFonts w:ascii="Bradley Hand ITC" w:hAnsi="Bradley Hand ITC"/>
          <w:sz w:val="24"/>
          <w:szCs w:val="24"/>
        </w:rPr>
        <w:t xml:space="preserve">.  </w:t>
      </w:r>
      <w:r w:rsidRPr="00DE5211">
        <w:rPr>
          <w:rFonts w:ascii="Bradley Hand ITC" w:hAnsi="Bradley Hand ITC"/>
          <w:i/>
          <w:sz w:val="24"/>
          <w:szCs w:val="24"/>
        </w:rPr>
        <w:t>Role reversal</w:t>
      </w:r>
      <w:r w:rsidRPr="00DE5211">
        <w:rPr>
          <w:rFonts w:ascii="Bradley Hand ITC" w:hAnsi="Bradley Hand ITC"/>
          <w:sz w:val="24"/>
          <w:szCs w:val="24"/>
        </w:rPr>
        <w:t xml:space="preserve"> is used in Total Physical Response</w:t>
      </w:r>
      <w:r>
        <w:rPr>
          <w:rFonts w:hint="eastAsia"/>
        </w:rPr>
        <w:t>.</w:t>
      </w:r>
      <w:r>
        <w:t>”</w:t>
      </w:r>
    </w:p>
    <w:p w:rsidR="00B26185" w:rsidRDefault="00B26185" w:rsidP="00B26185">
      <w:pPr>
        <w:spacing w:line="280" w:lineRule="exact"/>
      </w:pPr>
    </w:p>
    <w:p w:rsidR="00B26185" w:rsidRDefault="00B26185" w:rsidP="00B26185">
      <w:pPr>
        <w:spacing w:line="280" w:lineRule="exact"/>
        <w:rPr>
          <w:b/>
        </w:rPr>
      </w:pPr>
    </w:p>
    <w:p w:rsidR="00B26185" w:rsidRDefault="00B26185" w:rsidP="00B26185">
      <w:pPr>
        <w:spacing w:line="280" w:lineRule="exact"/>
        <w:rPr>
          <w:b/>
        </w:rPr>
      </w:pPr>
    </w:p>
    <w:p w:rsidR="00AE7861" w:rsidRDefault="00AE7861" w:rsidP="00B26185">
      <w:pPr>
        <w:spacing w:line="280" w:lineRule="exact"/>
        <w:rPr>
          <w:b/>
        </w:rPr>
      </w:pPr>
    </w:p>
    <w:p w:rsidR="003D7D55" w:rsidRDefault="003D7D55" w:rsidP="00B26185">
      <w:pPr>
        <w:spacing w:line="280" w:lineRule="exact"/>
        <w:rPr>
          <w:b/>
        </w:rPr>
      </w:pPr>
    </w:p>
    <w:p w:rsidR="00B26185" w:rsidRPr="00950238" w:rsidRDefault="00B26185" w:rsidP="00B26185">
      <w:pPr>
        <w:spacing w:line="280" w:lineRule="exact"/>
        <w:rPr>
          <w:b/>
        </w:rPr>
      </w:pPr>
      <w:r w:rsidRPr="00950238">
        <w:rPr>
          <w:rFonts w:hint="eastAsia"/>
          <w:b/>
        </w:rPr>
        <w:t xml:space="preserve">PREVIEW </w:t>
      </w:r>
      <w:r>
        <w:rPr>
          <w:b/>
        </w:rPr>
        <w:t xml:space="preserve">a) </w:t>
      </w:r>
      <w:r w:rsidRPr="00950238">
        <w:rPr>
          <w:rFonts w:hint="eastAsia"/>
          <w:b/>
        </w:rPr>
        <w:t xml:space="preserve">telling students the objectives, </w:t>
      </w:r>
      <w:r>
        <w:rPr>
          <w:b/>
        </w:rPr>
        <w:t xml:space="preserve">b) </w:t>
      </w:r>
      <w:r w:rsidRPr="00950238">
        <w:rPr>
          <w:rFonts w:hint="eastAsia"/>
          <w:b/>
        </w:rPr>
        <w:t xml:space="preserve">activating their schemata, </w:t>
      </w:r>
      <w:r>
        <w:rPr>
          <w:b/>
        </w:rPr>
        <w:t>and/</w:t>
      </w:r>
      <w:r w:rsidRPr="00950238">
        <w:rPr>
          <w:rFonts w:hint="eastAsia"/>
          <w:b/>
        </w:rPr>
        <w:t>or explaining what will happen next</w:t>
      </w:r>
      <w:r>
        <w:rPr>
          <w:b/>
        </w:rPr>
        <w:t>, e.g.</w:t>
      </w:r>
    </w:p>
    <w:p w:rsidR="00B26185" w:rsidRDefault="00B26185" w:rsidP="00B26185">
      <w:pPr>
        <w:spacing w:line="280" w:lineRule="exact"/>
        <w:ind w:left="540"/>
      </w:pPr>
      <w:r>
        <w:t>“</w:t>
      </w:r>
      <w:r w:rsidRPr="00DE5211">
        <w:rPr>
          <w:rFonts w:ascii="Bradley Hand ITC" w:hAnsi="Bradley Hand ITC"/>
          <w:sz w:val="24"/>
          <w:szCs w:val="24"/>
        </w:rPr>
        <w:t xml:space="preserve">Today, you are going to </w:t>
      </w:r>
      <w:r w:rsidR="00AE7861">
        <w:rPr>
          <w:rFonts w:ascii="Bradley Hand ITC" w:hAnsi="Bradley Hand ITC"/>
          <w:sz w:val="24"/>
          <w:szCs w:val="24"/>
        </w:rPr>
        <w:t xml:space="preserve">play a game. First, we need to warm up with some review. Then, we can practice some of the language, </w:t>
      </w:r>
      <w:r w:rsidR="00D06015">
        <w:rPr>
          <w:rFonts w:ascii="Bradley Hand ITC" w:hAnsi="Bradley Hand ITC"/>
          <w:sz w:val="24"/>
          <w:szCs w:val="24"/>
        </w:rPr>
        <w:t>and finally</w:t>
      </w:r>
      <w:r w:rsidR="00AE7861">
        <w:rPr>
          <w:rFonts w:ascii="Bradley Hand ITC" w:hAnsi="Bradley Hand ITC"/>
          <w:sz w:val="24"/>
          <w:szCs w:val="24"/>
        </w:rPr>
        <w:t xml:space="preserve"> we will use the language in the game. </w:t>
      </w:r>
    </w:p>
    <w:p w:rsidR="00B26185" w:rsidRDefault="00B26185" w:rsidP="00B26185">
      <w:pPr>
        <w:spacing w:line="280" w:lineRule="exact"/>
      </w:pPr>
    </w:p>
    <w:p w:rsidR="00AE7861" w:rsidRDefault="00AE7861" w:rsidP="00B26185">
      <w:pPr>
        <w:spacing w:line="280" w:lineRule="exact"/>
        <w:rPr>
          <w:b/>
        </w:rPr>
      </w:pPr>
    </w:p>
    <w:p w:rsidR="003D7D55" w:rsidRDefault="003D7D55" w:rsidP="00B26185">
      <w:pPr>
        <w:spacing w:line="280" w:lineRule="exact"/>
        <w:rPr>
          <w:b/>
        </w:rPr>
      </w:pPr>
    </w:p>
    <w:p w:rsidR="00B26185" w:rsidRDefault="00B26185" w:rsidP="00B26185">
      <w:pPr>
        <w:spacing w:line="280" w:lineRule="exact"/>
        <w:rPr>
          <w:b/>
        </w:rPr>
      </w:pPr>
      <w:r w:rsidRPr="00950238">
        <w:rPr>
          <w:rFonts w:hint="eastAsia"/>
          <w:b/>
        </w:rPr>
        <w:t>DESCRIBE &amp; PROVIDE EXAMPLES</w:t>
      </w:r>
      <w:r>
        <w:rPr>
          <w:b/>
        </w:rPr>
        <w:t>,</w:t>
      </w:r>
      <w:r w:rsidRPr="00950238">
        <w:rPr>
          <w:rFonts w:hint="eastAsia"/>
          <w:b/>
        </w:rPr>
        <w:t xml:space="preserve"> avoiding incomprehensible</w:t>
      </w:r>
      <w:r w:rsidR="00072314">
        <w:rPr>
          <w:b/>
        </w:rPr>
        <w:t xml:space="preserve"> (difficult/confusing) </w:t>
      </w:r>
      <w:r w:rsidRPr="00950238">
        <w:rPr>
          <w:rFonts w:hint="eastAsia"/>
          <w:b/>
        </w:rPr>
        <w:t>input when elaborating</w:t>
      </w:r>
      <w:r>
        <w:rPr>
          <w:b/>
        </w:rPr>
        <w:t>, e.g.</w:t>
      </w:r>
    </w:p>
    <w:p w:rsidR="00B26185" w:rsidRPr="00D06015" w:rsidRDefault="00B26185" w:rsidP="00B26185">
      <w:pPr>
        <w:spacing w:line="280" w:lineRule="exact"/>
        <w:ind w:left="540"/>
        <w:rPr>
          <w:sz w:val="24"/>
          <w:szCs w:val="24"/>
        </w:rPr>
      </w:pPr>
      <w:r w:rsidRPr="00D06015">
        <w:rPr>
          <w:sz w:val="24"/>
          <w:szCs w:val="24"/>
        </w:rPr>
        <w:t>“</w:t>
      </w:r>
      <w:r w:rsidRPr="00D06015">
        <w:rPr>
          <w:rFonts w:ascii="Bradley Hand ITC" w:hAnsi="Bradley Hand ITC"/>
          <w:sz w:val="24"/>
          <w:szCs w:val="24"/>
        </w:rPr>
        <w:t>An action sequence is a series of commands given by the teacher.  For example, ‘Hello.  Sit down.  Would you like something to drink?  How about some juice?’ is an action sequence</w:t>
      </w:r>
      <w:r w:rsidRPr="00D06015">
        <w:rPr>
          <w:rFonts w:hint="eastAsia"/>
          <w:sz w:val="24"/>
          <w:szCs w:val="24"/>
        </w:rPr>
        <w:t>.</w:t>
      </w:r>
      <w:r w:rsidRPr="00D06015">
        <w:rPr>
          <w:sz w:val="24"/>
          <w:szCs w:val="24"/>
        </w:rPr>
        <w:t>”</w:t>
      </w:r>
    </w:p>
    <w:p w:rsidR="00B26185" w:rsidRDefault="00B26185" w:rsidP="00B26185">
      <w:pPr>
        <w:spacing w:line="280" w:lineRule="exact"/>
        <w:rPr>
          <w:b/>
        </w:rPr>
      </w:pPr>
    </w:p>
    <w:p w:rsidR="00AE7861" w:rsidRDefault="00E15EDA" w:rsidP="00B26185">
      <w:pPr>
        <w:spacing w:line="280" w:lineRule="exact"/>
        <w:rPr>
          <w:b/>
        </w:rPr>
      </w:pPr>
      <w:r w:rsidRPr="007B4493">
        <w:rPr>
          <w:rFonts w:ascii="Bradley Hand ITC" w:hAnsi="Bradley Hand ITC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1E521194" wp14:editId="4D7916B5">
            <wp:simplePos x="0" y="0"/>
            <wp:positionH relativeFrom="column">
              <wp:posOffset>5362575</wp:posOffset>
            </wp:positionH>
            <wp:positionV relativeFrom="paragraph">
              <wp:posOffset>158750</wp:posOffset>
            </wp:positionV>
            <wp:extent cx="1241425" cy="831215"/>
            <wp:effectExtent l="0" t="0" r="0" b="6985"/>
            <wp:wrapNone/>
            <wp:docPr id="20" name="Picture 142" descr="C:\Users\Tom and Yuli\AppData\Local\Microsoft\Windows\Temporary Internet Files\Content.IE5\4WKJA452\MPj040933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Tom and Yuli\AppData\Local\Microsoft\Windows\Temporary Internet Files\Content.IE5\4WKJA452\MPj0409335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185" w:rsidRPr="00950238" w:rsidRDefault="00B26185" w:rsidP="00B26185">
      <w:pPr>
        <w:spacing w:line="280" w:lineRule="exact"/>
        <w:rPr>
          <w:b/>
        </w:rPr>
      </w:pPr>
      <w:r w:rsidRPr="00950238">
        <w:rPr>
          <w:rFonts w:hint="eastAsia"/>
          <w:b/>
        </w:rPr>
        <w:t>USE VISUALS</w:t>
      </w:r>
    </w:p>
    <w:p w:rsidR="00B26185" w:rsidRDefault="00B26185" w:rsidP="00B26185">
      <w:pPr>
        <w:spacing w:line="280" w:lineRule="exact"/>
      </w:pPr>
      <w:r>
        <w:rPr>
          <w:rFonts w:hint="eastAsia"/>
        </w:rPr>
        <w:t xml:space="preserve">Written: </w:t>
      </w:r>
      <w:r>
        <w:t>white</w:t>
      </w:r>
      <w:r>
        <w:rPr>
          <w:rFonts w:hint="eastAsia"/>
        </w:rPr>
        <w:t xml:space="preserve">board, </w:t>
      </w:r>
      <w:r w:rsidR="00D06015">
        <w:t xml:space="preserve">PowerPoint, </w:t>
      </w:r>
      <w:r>
        <w:rPr>
          <w:rFonts w:hint="eastAsia"/>
        </w:rPr>
        <w:t>graphic organizers, handouts</w:t>
      </w:r>
    </w:p>
    <w:p w:rsidR="00B26185" w:rsidRDefault="00B26185" w:rsidP="00B26185">
      <w:pPr>
        <w:spacing w:line="280" w:lineRule="exact"/>
      </w:pPr>
      <w:r>
        <w:rPr>
          <w:rFonts w:hint="eastAsia"/>
        </w:rPr>
        <w:t xml:space="preserve">Non-verbal cues: gestures, facial </w:t>
      </w:r>
      <w:r>
        <w:t>expressions</w:t>
      </w:r>
      <w:r>
        <w:rPr>
          <w:rFonts w:hint="eastAsia"/>
        </w:rPr>
        <w:t>, body movement</w:t>
      </w:r>
    </w:p>
    <w:p w:rsidR="00B26185" w:rsidRDefault="00B26185" w:rsidP="00B26185">
      <w:pPr>
        <w:spacing w:line="280" w:lineRule="exact"/>
      </w:pPr>
      <w:r>
        <w:rPr>
          <w:rFonts w:hint="eastAsia"/>
        </w:rPr>
        <w:t>Pictures, photographs, drawings, flashcards</w:t>
      </w:r>
    </w:p>
    <w:p w:rsidR="00B26185" w:rsidRDefault="00B26185" w:rsidP="00AE7861">
      <w:pPr>
        <w:spacing w:line="280" w:lineRule="exact"/>
      </w:pPr>
      <w:r>
        <w:rPr>
          <w:rFonts w:hint="eastAsia"/>
        </w:rPr>
        <w:t>R</w:t>
      </w:r>
      <w:r>
        <w:t>e</w:t>
      </w:r>
      <w:r>
        <w:rPr>
          <w:rFonts w:hint="eastAsia"/>
        </w:rPr>
        <w:t>alia - c</w:t>
      </w:r>
      <w:r>
        <w:t>oncrete objects from the everyday world which are used during instruction</w:t>
      </w:r>
      <w:bookmarkStart w:id="2" w:name="_Toc295667492"/>
    </w:p>
    <w:bookmarkEnd w:id="2"/>
    <w:p w:rsidR="008D60A3" w:rsidRDefault="008D60A3" w:rsidP="008D60A3">
      <w:pPr>
        <w:rPr>
          <w:b/>
          <w:sz w:val="28"/>
          <w:szCs w:val="28"/>
        </w:rPr>
      </w:pPr>
    </w:p>
    <w:sectPr w:rsidR="008D60A3" w:rsidSect="00FC04FB">
      <w:footerReference w:type="default" r:id="rId9"/>
      <w:type w:val="continuous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B1" w:rsidRDefault="009536B1" w:rsidP="00FC04FB">
      <w:r>
        <w:separator/>
      </w:r>
    </w:p>
  </w:endnote>
  <w:endnote w:type="continuationSeparator" w:id="0">
    <w:p w:rsidR="009536B1" w:rsidRDefault="009536B1" w:rsidP="00FC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FB" w:rsidRPr="00FC04FB" w:rsidRDefault="00FC04FB" w:rsidP="00FC04FB">
    <w:pPr>
      <w:pStyle w:val="Footer"/>
      <w:jc w:val="right"/>
      <w:rPr>
        <w:sz w:val="16"/>
        <w:szCs w:val="16"/>
      </w:rPr>
    </w:pPr>
    <w:r w:rsidRPr="00FC04FB">
      <w:rPr>
        <w:sz w:val="16"/>
        <w:szCs w:val="16"/>
      </w:rPr>
      <w:t>Kevin Hajovsky</w:t>
    </w:r>
  </w:p>
  <w:p w:rsidR="00FC04FB" w:rsidRPr="00FC04FB" w:rsidRDefault="00FC04FB" w:rsidP="00FC04FB">
    <w:pPr>
      <w:pStyle w:val="Footer"/>
      <w:jc w:val="right"/>
      <w:rPr>
        <w:sz w:val="16"/>
        <w:szCs w:val="16"/>
      </w:rPr>
    </w:pPr>
    <w:r w:rsidRPr="00FC04FB">
      <w:rPr>
        <w:sz w:val="16"/>
        <w:szCs w:val="16"/>
      </w:rPr>
      <w:t>Senior English Language Fellow</w:t>
    </w:r>
  </w:p>
  <w:p w:rsidR="00FC04FB" w:rsidRPr="00FC04FB" w:rsidRDefault="00FC04FB" w:rsidP="00FC04FB">
    <w:pPr>
      <w:pStyle w:val="Footer"/>
      <w:jc w:val="right"/>
      <w:rPr>
        <w:sz w:val="16"/>
        <w:szCs w:val="16"/>
      </w:rPr>
    </w:pPr>
    <w:r w:rsidRPr="00FC04FB">
      <w:rPr>
        <w:sz w:val="16"/>
        <w:szCs w:val="16"/>
      </w:rPr>
      <w:t>Galápagos,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B1" w:rsidRDefault="009536B1" w:rsidP="00FC04FB">
      <w:r>
        <w:separator/>
      </w:r>
    </w:p>
  </w:footnote>
  <w:footnote w:type="continuationSeparator" w:id="0">
    <w:p w:rsidR="009536B1" w:rsidRDefault="009536B1" w:rsidP="00FC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5"/>
    <w:rsid w:val="00072314"/>
    <w:rsid w:val="000D4C2A"/>
    <w:rsid w:val="000F6C75"/>
    <w:rsid w:val="003D7D55"/>
    <w:rsid w:val="00437FBB"/>
    <w:rsid w:val="00527686"/>
    <w:rsid w:val="0058638C"/>
    <w:rsid w:val="006A22E6"/>
    <w:rsid w:val="007A61A9"/>
    <w:rsid w:val="007B4493"/>
    <w:rsid w:val="008D60A3"/>
    <w:rsid w:val="009536B1"/>
    <w:rsid w:val="00985C34"/>
    <w:rsid w:val="009C56D6"/>
    <w:rsid w:val="00AE7861"/>
    <w:rsid w:val="00B26185"/>
    <w:rsid w:val="00D06015"/>
    <w:rsid w:val="00D6343A"/>
    <w:rsid w:val="00D822B0"/>
    <w:rsid w:val="00E15EDA"/>
    <w:rsid w:val="00F10F13"/>
    <w:rsid w:val="00F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85"/>
    <w:pPr>
      <w:widowControl w:val="0"/>
      <w:wordWrap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1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185"/>
    <w:rPr>
      <w:rFonts w:ascii="Arial" w:eastAsiaTheme="minorEastAsia" w:hAnsi="Arial" w:cs="Arial"/>
      <w:b/>
      <w:bCs/>
      <w:color w:val="000000"/>
      <w:kern w:val="32"/>
      <w:sz w:val="32"/>
      <w:szCs w:val="32"/>
      <w:lang w:eastAsia="ko-KR"/>
    </w:rPr>
  </w:style>
  <w:style w:type="table" w:styleId="TableGrid">
    <w:name w:val="Table Grid"/>
    <w:basedOn w:val="TableNormal"/>
    <w:uiPriority w:val="1"/>
    <w:rsid w:val="00B2618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4FB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C0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4FB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85"/>
    <w:pPr>
      <w:widowControl w:val="0"/>
      <w:wordWrap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1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185"/>
    <w:rPr>
      <w:rFonts w:ascii="Arial" w:eastAsiaTheme="minorEastAsia" w:hAnsi="Arial" w:cs="Arial"/>
      <w:b/>
      <w:bCs/>
      <w:color w:val="000000"/>
      <w:kern w:val="32"/>
      <w:sz w:val="32"/>
      <w:szCs w:val="32"/>
      <w:lang w:eastAsia="ko-KR"/>
    </w:rPr>
  </w:style>
  <w:style w:type="table" w:styleId="TableGrid">
    <w:name w:val="Table Grid"/>
    <w:basedOn w:val="TableNormal"/>
    <w:uiPriority w:val="1"/>
    <w:rsid w:val="00B2618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4FB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C0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4FB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SELF-GE</dc:creator>
  <cp:lastModifiedBy>Amy Lingenfelter</cp:lastModifiedBy>
  <cp:revision>2</cp:revision>
  <cp:lastPrinted>2013-05-08T20:40:00Z</cp:lastPrinted>
  <dcterms:created xsi:type="dcterms:W3CDTF">2013-11-27T14:53:00Z</dcterms:created>
  <dcterms:modified xsi:type="dcterms:W3CDTF">2013-11-27T14:53:00Z</dcterms:modified>
</cp:coreProperties>
</file>